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0B26566B"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0D6329">
        <w:t>16</w:t>
      </w:r>
      <w:r w:rsidR="005420B4" w:rsidRPr="00893890">
        <w:t>.</w:t>
      </w:r>
      <w:r w:rsidR="00296EFF">
        <w:t xml:space="preserve"> </w:t>
      </w:r>
      <w:r w:rsidR="000D6329">
        <w:t>května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0207294E" w:rsidR="004D79D4" w:rsidRDefault="00343CFF"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w:t>
      </w:r>
      <w:r w:rsidR="005F4989">
        <w:rPr>
          <w:rStyle w:val="normaltextrun"/>
          <w:rFonts w:ascii="Arial" w:hAnsi="Arial" w:cs="Arial"/>
          <w:b/>
          <w:bCs/>
          <w:color w:val="000000"/>
          <w:sz w:val="28"/>
          <w:szCs w:val="28"/>
          <w:lang w:val="cs-CZ"/>
        </w:rPr>
        <w:t xml:space="preserve">: </w:t>
      </w:r>
      <w:r w:rsidR="00B61C27">
        <w:rPr>
          <w:rStyle w:val="normaltextrun"/>
          <w:rFonts w:ascii="Arial" w:hAnsi="Arial" w:cs="Arial"/>
          <w:b/>
          <w:bCs/>
          <w:color w:val="000000"/>
          <w:sz w:val="28"/>
          <w:szCs w:val="28"/>
          <w:lang w:val="cs-CZ"/>
        </w:rPr>
        <w:t xml:space="preserve">Jak </w:t>
      </w:r>
      <w:r w:rsidR="000D6329">
        <w:rPr>
          <w:rStyle w:val="normaltextrun"/>
          <w:rFonts w:ascii="Arial" w:hAnsi="Arial" w:cs="Arial"/>
          <w:b/>
          <w:bCs/>
          <w:color w:val="000000"/>
          <w:sz w:val="28"/>
          <w:szCs w:val="28"/>
          <w:lang w:val="cs-CZ"/>
        </w:rPr>
        <w:t>mohou neutrální akciové strategie využít sílu volatility</w:t>
      </w:r>
    </w:p>
    <w:p w14:paraId="43A3F1D2" w14:textId="77777777" w:rsidR="000D6329" w:rsidRDefault="000D6329" w:rsidP="000D6329">
      <w:pPr>
        <w:rPr>
          <w:b/>
          <w:bCs/>
        </w:rPr>
      </w:pPr>
      <w:r w:rsidRPr="0020459C">
        <w:rPr>
          <w:b/>
          <w:bCs/>
        </w:rPr>
        <w:t>Nedávné výkyvy na trhu zvýšily obavy investorů do akcií z volatility trhu. Na rozdíl od toho, aby investoři vnímali volatilitu jako</w:t>
      </w:r>
      <w:r>
        <w:rPr>
          <w:b/>
          <w:bCs/>
        </w:rPr>
        <w:t xml:space="preserve"> možnou</w:t>
      </w:r>
      <w:r w:rsidRPr="0020459C">
        <w:rPr>
          <w:b/>
          <w:bCs/>
        </w:rPr>
        <w:t xml:space="preserve"> potenciální ztrát</w:t>
      </w:r>
      <w:r>
        <w:rPr>
          <w:b/>
          <w:bCs/>
        </w:rPr>
        <w:t>u</w:t>
      </w:r>
      <w:r w:rsidRPr="0020459C">
        <w:rPr>
          <w:b/>
          <w:bCs/>
        </w:rPr>
        <w:t xml:space="preserve">, mohou současné tržní podmínky vnímat také jako příležitosti. V následujícím článku se zabýváme tím, jak mohou strategie tržně neutrálního přístupu k akciím pomoci portfolio stabilizovat. </w:t>
      </w:r>
    </w:p>
    <w:p w14:paraId="27E4C31C" w14:textId="3B56004E" w:rsidR="000D6329" w:rsidRPr="000D6329" w:rsidRDefault="000D6329" w:rsidP="000D6329">
      <w:pPr>
        <w:pStyle w:val="F2-zkladn"/>
      </w:pPr>
      <w:r w:rsidRPr="000D6329">
        <w:rPr>
          <w:i/>
          <w:iCs/>
        </w:rPr>
        <w:t>Autoři:</w:t>
      </w:r>
      <w:r>
        <w:t xml:space="preserve"> </w:t>
      </w:r>
      <w:proofErr w:type="spellStart"/>
      <w:r w:rsidRPr="000D6329">
        <w:rPr>
          <w:i/>
          <w:iCs/>
        </w:rPr>
        <w:t>Hiten</w:t>
      </w:r>
      <w:proofErr w:type="spellEnd"/>
      <w:r w:rsidRPr="000D6329">
        <w:rPr>
          <w:i/>
          <w:iCs/>
        </w:rPr>
        <w:t xml:space="preserve"> </w:t>
      </w:r>
      <w:proofErr w:type="spellStart"/>
      <w:r w:rsidRPr="000D6329">
        <w:rPr>
          <w:i/>
          <w:iCs/>
        </w:rPr>
        <w:t>Savani</w:t>
      </w:r>
      <w:proofErr w:type="spellEnd"/>
      <w:r>
        <w:rPr>
          <w:i/>
          <w:iCs/>
        </w:rPr>
        <w:t xml:space="preserve"> a </w:t>
      </w:r>
      <w:proofErr w:type="spellStart"/>
      <w:r>
        <w:rPr>
          <w:i/>
          <w:iCs/>
        </w:rPr>
        <w:t>Matt</w:t>
      </w:r>
      <w:proofErr w:type="spellEnd"/>
      <w:r>
        <w:rPr>
          <w:i/>
          <w:iCs/>
        </w:rPr>
        <w:t xml:space="preserve"> Jones, portfolio manažeři společnosti </w:t>
      </w:r>
      <w:proofErr w:type="spellStart"/>
      <w:r>
        <w:rPr>
          <w:i/>
          <w:iCs/>
        </w:rPr>
        <w:t>Fidelity</w:t>
      </w:r>
      <w:proofErr w:type="spellEnd"/>
      <w:r>
        <w:rPr>
          <w:i/>
          <w:iCs/>
        </w:rPr>
        <w:t xml:space="preserve"> International</w:t>
      </w:r>
    </w:p>
    <w:p w14:paraId="2CC0495B" w14:textId="669AD416" w:rsidR="000D6329" w:rsidRPr="0020459C" w:rsidRDefault="000D6329" w:rsidP="000D6329">
      <w:r w:rsidRPr="0020459C">
        <w:t>Světová ekonomika přechází do nového režimu, který se vyznačuje vyšší volatilitou, zvýšenou inflací na vyspělých trzích a rozdílnou politikou úrokových sazeb hlavních centrálních bank. To je prostředí, které se výrazně liší od předchozího desetiletí, kdy byla volatilita nižší, inflace utlumená a úroková politika centrálních bank více sladěná.</w:t>
      </w:r>
    </w:p>
    <w:p w14:paraId="172F5F78" w14:textId="500AAA8A" w:rsidR="000D6329" w:rsidRPr="0020459C" w:rsidRDefault="000D6329" w:rsidP="000D6329">
      <w:r w:rsidRPr="0020459C">
        <w:t>Pro mnoho investorů je propad trhu, j</w:t>
      </w:r>
      <w:r>
        <w:t>akým</w:t>
      </w:r>
      <w:r w:rsidRPr="0020459C">
        <w:t xml:space="preserve"> byl dubnový výprodej po oznámení cel ze strany americké administrativy, synonymem potenciálních ztrát. Během tří dnů po tzv. Dni osvobození („</w:t>
      </w:r>
      <w:proofErr w:type="spellStart"/>
      <w:r w:rsidRPr="0020459C">
        <w:t>Liberation</w:t>
      </w:r>
      <w:proofErr w:type="spellEnd"/>
      <w:r w:rsidRPr="0020459C">
        <w:t xml:space="preserve"> </w:t>
      </w:r>
      <w:proofErr w:type="spellStart"/>
      <w:r w:rsidRPr="0020459C">
        <w:t>Day</w:t>
      </w:r>
      <w:proofErr w:type="spellEnd"/>
      <w:r w:rsidRPr="0020459C">
        <w:t>“) ztratily světové akcie přibližně 1 bilion USD tržní kapitalizace, přičemž největší propad zaznamenaly americké akcie. Index volatility (VIX), jakýsi barometr nálady na trhu, překročil 8. dubna poprvé od volatility vyvolané Covidem v dubnu 2020 hodnotu 50 (viz obrázek 1).</w:t>
      </w:r>
    </w:p>
    <w:p w14:paraId="1D2A8B7F" w14:textId="10325F38" w:rsidR="000D6329" w:rsidRPr="00E44470" w:rsidRDefault="000D6329" w:rsidP="000D6329">
      <w:pPr>
        <w:rPr>
          <w:bCs/>
          <w:noProof/>
        </w:rPr>
      </w:pPr>
      <w:r w:rsidRPr="00E44470">
        <w:rPr>
          <w:bCs/>
          <w:noProof/>
        </w:rPr>
        <w:drawing>
          <wp:anchor distT="0" distB="0" distL="114300" distR="114300" simplePos="0" relativeHeight="251658240" behindDoc="0" locked="0" layoutInCell="1" allowOverlap="1" wp14:anchorId="18236638" wp14:editId="274363CD">
            <wp:simplePos x="0" y="0"/>
            <wp:positionH relativeFrom="column">
              <wp:posOffset>52070</wp:posOffset>
            </wp:positionH>
            <wp:positionV relativeFrom="paragraph">
              <wp:posOffset>426085</wp:posOffset>
            </wp:positionV>
            <wp:extent cx="4630149" cy="1988820"/>
            <wp:effectExtent l="0" t="0" r="0" b="0"/>
            <wp:wrapTopAndBottom/>
            <wp:docPr id="645709059" name="Picture 1" descr="A graph of stock market pri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09059" name="Picture 1" descr="A graph of stock market price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0149" cy="1988820"/>
                    </a:xfrm>
                    <a:prstGeom prst="rect">
                      <a:avLst/>
                    </a:prstGeom>
                  </pic:spPr>
                </pic:pic>
              </a:graphicData>
            </a:graphic>
          </wp:anchor>
        </w:drawing>
      </w:r>
      <w:r w:rsidRPr="0020459C">
        <w:rPr>
          <w:b/>
          <w:bCs/>
        </w:rPr>
        <w:t>Obrázek 1: Výkonnost indexu S&amp;P 500 vs. index VIX</w:t>
      </w:r>
    </w:p>
    <w:p w14:paraId="18B30C0A" w14:textId="6ACB16B8" w:rsidR="000D6329" w:rsidRPr="000D6329" w:rsidRDefault="000D6329" w:rsidP="000D6329">
      <w:pPr>
        <w:rPr>
          <w:i/>
          <w:iCs/>
          <w:sz w:val="18"/>
          <w:szCs w:val="18"/>
        </w:rPr>
      </w:pPr>
      <w:r w:rsidRPr="000D6329">
        <w:rPr>
          <w:i/>
          <w:iCs/>
          <w:sz w:val="18"/>
          <w:szCs w:val="18"/>
        </w:rPr>
        <w:t>Historická výkonnost není spolehlivým ukazatelem budoucích výsledků.</w:t>
      </w:r>
      <w:r w:rsidRPr="000D6329">
        <w:rPr>
          <w:i/>
          <w:iCs/>
          <w:sz w:val="18"/>
          <w:szCs w:val="18"/>
        </w:rPr>
        <w:t xml:space="preserve"> </w:t>
      </w:r>
      <w:r w:rsidRPr="000D6329">
        <w:rPr>
          <w:i/>
          <w:iCs/>
          <w:sz w:val="18"/>
          <w:szCs w:val="18"/>
        </w:rPr>
        <w:t xml:space="preserve">Zdroj: LSEG </w:t>
      </w:r>
      <w:proofErr w:type="spellStart"/>
      <w:r w:rsidRPr="000D6329">
        <w:rPr>
          <w:i/>
          <w:iCs/>
          <w:sz w:val="18"/>
          <w:szCs w:val="18"/>
        </w:rPr>
        <w:t>Datastream</w:t>
      </w:r>
      <w:proofErr w:type="spellEnd"/>
      <w:r w:rsidRPr="000D6329">
        <w:rPr>
          <w:i/>
          <w:iCs/>
          <w:sz w:val="18"/>
          <w:szCs w:val="18"/>
        </w:rPr>
        <w:t xml:space="preserve">, </w:t>
      </w:r>
      <w:proofErr w:type="spellStart"/>
      <w:r w:rsidRPr="000D6329">
        <w:rPr>
          <w:i/>
          <w:iCs/>
          <w:sz w:val="18"/>
          <w:szCs w:val="18"/>
        </w:rPr>
        <w:t>Bloomberg</w:t>
      </w:r>
      <w:proofErr w:type="spellEnd"/>
      <w:r w:rsidRPr="000D6329">
        <w:rPr>
          <w:i/>
          <w:iCs/>
          <w:sz w:val="18"/>
          <w:szCs w:val="18"/>
        </w:rPr>
        <w:t>, údaje ke dni 9. dubna 2025. Poznámka: Obecně panuje shoda, že index VIX překračující hodnotu 30 je známkou zvýšeného ekonomického napětí. Příznivé úrovně jsou pod 20.</w:t>
      </w:r>
    </w:p>
    <w:p w14:paraId="31646A47" w14:textId="77777777" w:rsidR="000D6329" w:rsidRDefault="000D6329" w:rsidP="008D2B6E">
      <w:pPr>
        <w:rPr>
          <w:b/>
          <w:bCs/>
        </w:rPr>
      </w:pPr>
    </w:p>
    <w:p w14:paraId="6D077608" w14:textId="2FF2F6CD" w:rsidR="000D6329" w:rsidRPr="00533923" w:rsidRDefault="000D6329" w:rsidP="000D6329">
      <w:r w:rsidRPr="00533923">
        <w:lastRenderedPageBreak/>
        <w:t>Ztráty takového rozsahu během těchto typů poklesů trhu však nemusí být nevyhnutelné. Pro některé strategie absolutní návratnosti, jako je například strategie tržně neutrálního přístupu k akciím (EMN), mohou turbulence představovat úrodnou půdu pro investiční příležitosti. Takové přístupy s nulovou betou by v podstatě měly poskytnout stabilizační prvek pro portfolia v obdobích tržních turbulencí.</w:t>
      </w:r>
    </w:p>
    <w:p w14:paraId="4BDA087E" w14:textId="4940C57E" w:rsidR="000D6329" w:rsidRPr="00533923" w:rsidRDefault="000D6329" w:rsidP="000D6329">
      <w:r w:rsidRPr="00533923">
        <w:t>Vyvažováním dlouhých a krátkých pozic (často v rámci stejného regionu nebo odvětví), které mají za cíl eliminovat celkové pohyby na trhu, se strategie EMN snaží vydělávat na relativních rozdílech v hodnotě akcií, a nikoli sledovat celkové směřování trhu. Z tohoto důvodu poskytují strategie EMN také atraktivní diverzifikační vlastnosti portfolia (viz obrázek 2) ve srovnání s tradičními akciemi a jinými třídami aktiv (viz obrázek 3).</w:t>
      </w:r>
    </w:p>
    <w:p w14:paraId="58C06677" w14:textId="6C08C390" w:rsidR="000D6329" w:rsidRPr="00DA11CD" w:rsidRDefault="000D6329" w:rsidP="000D6329">
      <w:pPr>
        <w:rPr>
          <w:b/>
          <w:bCs/>
        </w:rPr>
      </w:pPr>
      <w:r w:rsidRPr="009938F3">
        <w:rPr>
          <w:noProof/>
        </w:rPr>
        <w:drawing>
          <wp:anchor distT="0" distB="0" distL="114300" distR="114300" simplePos="0" relativeHeight="251659264" behindDoc="0" locked="0" layoutInCell="1" allowOverlap="1" wp14:anchorId="0126503B" wp14:editId="19240CBB">
            <wp:simplePos x="0" y="0"/>
            <wp:positionH relativeFrom="column">
              <wp:posOffset>-1109</wp:posOffset>
            </wp:positionH>
            <wp:positionV relativeFrom="paragraph">
              <wp:posOffset>434340</wp:posOffset>
            </wp:positionV>
            <wp:extent cx="4079582" cy="3427518"/>
            <wp:effectExtent l="0" t="0" r="0" b="1905"/>
            <wp:wrapTopAndBottom/>
            <wp:docPr id="843141984"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41984" name="Picture 1" descr="A graph of different colored bar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079582" cy="3427518"/>
                    </a:xfrm>
                    <a:prstGeom prst="rect">
                      <a:avLst/>
                    </a:prstGeom>
                  </pic:spPr>
                </pic:pic>
              </a:graphicData>
            </a:graphic>
          </wp:anchor>
        </w:drawing>
      </w:r>
      <w:r w:rsidRPr="00A475E4">
        <w:rPr>
          <w:b/>
          <w:bCs/>
        </w:rPr>
        <w:t>Obrázek 2: Přínos diverzifikace portfolia EMN (na základě korelace)</w:t>
      </w:r>
    </w:p>
    <w:p w14:paraId="678EBE53" w14:textId="018FB94A" w:rsidR="000D6329" w:rsidRDefault="000D6329" w:rsidP="000D6329">
      <w:pPr>
        <w:autoSpaceDE w:val="0"/>
        <w:autoSpaceDN w:val="0"/>
        <w:adjustRightInd w:val="0"/>
        <w:spacing w:line="240" w:lineRule="auto"/>
        <w:rPr>
          <w:i/>
          <w:iCs/>
          <w:sz w:val="18"/>
          <w:szCs w:val="18"/>
        </w:rPr>
      </w:pPr>
      <w:r w:rsidRPr="00F67148">
        <w:rPr>
          <w:i/>
          <w:iCs/>
          <w:sz w:val="18"/>
          <w:szCs w:val="18"/>
        </w:rPr>
        <w:t xml:space="preserve">Historická výkonnost není spolehlivým ukazatelem budoucích výsledků. Strategie, které investují na zahraničních trzích, mohou být ovlivněny změnami směnných kurzů, a tedy i výkonnosti. Zdroj: </w:t>
      </w:r>
      <w:proofErr w:type="spellStart"/>
      <w:r w:rsidRPr="00F67148">
        <w:rPr>
          <w:i/>
          <w:iCs/>
          <w:sz w:val="18"/>
          <w:szCs w:val="18"/>
        </w:rPr>
        <w:t>bfinance</w:t>
      </w:r>
      <w:proofErr w:type="spellEnd"/>
      <w:r w:rsidRPr="00F67148">
        <w:rPr>
          <w:i/>
          <w:iCs/>
          <w:sz w:val="18"/>
          <w:szCs w:val="18"/>
        </w:rPr>
        <w:t xml:space="preserve">, s údaji z HFRI, </w:t>
      </w:r>
      <w:proofErr w:type="spellStart"/>
      <w:r w:rsidRPr="00F67148">
        <w:rPr>
          <w:i/>
          <w:iCs/>
          <w:sz w:val="18"/>
          <w:szCs w:val="18"/>
        </w:rPr>
        <w:t>Bloomberg</w:t>
      </w:r>
      <w:proofErr w:type="spellEnd"/>
      <w:r w:rsidRPr="00F67148">
        <w:rPr>
          <w:i/>
          <w:iCs/>
          <w:sz w:val="18"/>
          <w:szCs w:val="18"/>
        </w:rPr>
        <w:t xml:space="preserve">, červenec </w:t>
      </w:r>
      <w:proofErr w:type="gramStart"/>
      <w:r w:rsidRPr="00F67148">
        <w:rPr>
          <w:i/>
          <w:iCs/>
          <w:sz w:val="18"/>
          <w:szCs w:val="18"/>
        </w:rPr>
        <w:t>2000 - březen</w:t>
      </w:r>
      <w:proofErr w:type="gramEnd"/>
      <w:r w:rsidRPr="00F67148">
        <w:rPr>
          <w:i/>
          <w:iCs/>
          <w:sz w:val="18"/>
          <w:szCs w:val="18"/>
        </w:rPr>
        <w:t xml:space="preserve"> 2024. Na základě 5% alokace do HFRI EMN (USD bez poplatků) spolu s 65 % indexu MSCI </w:t>
      </w:r>
      <w:proofErr w:type="spellStart"/>
      <w:r w:rsidRPr="00F67148">
        <w:rPr>
          <w:i/>
          <w:iCs/>
          <w:sz w:val="18"/>
          <w:szCs w:val="18"/>
        </w:rPr>
        <w:t>World</w:t>
      </w:r>
      <w:proofErr w:type="spellEnd"/>
      <w:r w:rsidRPr="00F67148">
        <w:rPr>
          <w:i/>
          <w:iCs/>
          <w:sz w:val="18"/>
          <w:szCs w:val="18"/>
        </w:rPr>
        <w:t xml:space="preserve"> (USD bez poplatků), 30 % indexu JP Morgan </w:t>
      </w:r>
      <w:proofErr w:type="spellStart"/>
      <w:r w:rsidRPr="00F67148">
        <w:rPr>
          <w:i/>
          <w:iCs/>
          <w:sz w:val="18"/>
          <w:szCs w:val="18"/>
        </w:rPr>
        <w:t>Global</w:t>
      </w:r>
      <w:proofErr w:type="spellEnd"/>
      <w:r w:rsidRPr="00F67148">
        <w:rPr>
          <w:i/>
          <w:iCs/>
          <w:sz w:val="18"/>
          <w:szCs w:val="18"/>
        </w:rPr>
        <w:t xml:space="preserve"> </w:t>
      </w:r>
      <w:proofErr w:type="spellStart"/>
      <w:r w:rsidRPr="00F67148">
        <w:rPr>
          <w:i/>
          <w:iCs/>
          <w:sz w:val="18"/>
          <w:szCs w:val="18"/>
        </w:rPr>
        <w:t>Aggregate</w:t>
      </w:r>
      <w:proofErr w:type="spellEnd"/>
      <w:r w:rsidRPr="00F67148">
        <w:rPr>
          <w:i/>
          <w:iCs/>
          <w:sz w:val="18"/>
          <w:szCs w:val="18"/>
        </w:rPr>
        <w:t xml:space="preserve"> </w:t>
      </w:r>
      <w:proofErr w:type="spellStart"/>
      <w:r w:rsidRPr="00F67148">
        <w:rPr>
          <w:i/>
          <w:iCs/>
          <w:sz w:val="18"/>
          <w:szCs w:val="18"/>
        </w:rPr>
        <w:t>Bonds</w:t>
      </w:r>
      <w:proofErr w:type="spellEnd"/>
      <w:r w:rsidRPr="00F67148">
        <w:rPr>
          <w:i/>
          <w:iCs/>
          <w:sz w:val="18"/>
          <w:szCs w:val="18"/>
        </w:rPr>
        <w:t xml:space="preserve"> (USD bez poplatků).  Metodika výpočtu „přínosu diverzifikace“ podrobně popsaná v dodatku. Indexy nejsou </w:t>
      </w:r>
      <w:proofErr w:type="spellStart"/>
      <w:r w:rsidRPr="00F67148">
        <w:rPr>
          <w:i/>
          <w:iCs/>
          <w:sz w:val="18"/>
          <w:szCs w:val="18"/>
        </w:rPr>
        <w:t>investovatelné</w:t>
      </w:r>
      <w:proofErr w:type="spellEnd"/>
      <w:r w:rsidRPr="00F67148">
        <w:rPr>
          <w:i/>
          <w:iCs/>
          <w:sz w:val="18"/>
          <w:szCs w:val="18"/>
        </w:rPr>
        <w:t>. Výnosy indexů kótovaných na burze nezahrnují náklady.</w:t>
      </w:r>
    </w:p>
    <w:p w14:paraId="36DA3DA0" w14:textId="77777777" w:rsidR="00F67148" w:rsidRDefault="00F67148" w:rsidP="00F67148">
      <w:pPr>
        <w:pStyle w:val="F2-zkladn"/>
      </w:pPr>
    </w:p>
    <w:p w14:paraId="1F3C6474" w14:textId="77777777" w:rsidR="00F67148" w:rsidRDefault="00F67148" w:rsidP="00F67148">
      <w:pPr>
        <w:pStyle w:val="F2-zkladn"/>
      </w:pPr>
    </w:p>
    <w:p w14:paraId="25041D59" w14:textId="77777777" w:rsidR="00F67148" w:rsidRDefault="00F67148" w:rsidP="00F67148">
      <w:pPr>
        <w:pStyle w:val="F2-zkladn"/>
      </w:pPr>
    </w:p>
    <w:p w14:paraId="0FF0C5F9" w14:textId="77777777" w:rsidR="00F67148" w:rsidRDefault="00F67148" w:rsidP="00F67148">
      <w:pPr>
        <w:pStyle w:val="F2-zkladn"/>
      </w:pPr>
    </w:p>
    <w:p w14:paraId="2CFDFBD2" w14:textId="77777777" w:rsidR="00F67148" w:rsidRPr="00F67148" w:rsidRDefault="00F67148" w:rsidP="00F67148">
      <w:pPr>
        <w:pStyle w:val="F2-zkladn"/>
      </w:pPr>
    </w:p>
    <w:p w14:paraId="6A286173" w14:textId="77777777" w:rsidR="000D6329" w:rsidRPr="005F0FFF" w:rsidRDefault="000D6329" w:rsidP="000D6329">
      <w:pPr>
        <w:autoSpaceDE w:val="0"/>
        <w:autoSpaceDN w:val="0"/>
        <w:adjustRightInd w:val="0"/>
        <w:spacing w:line="240" w:lineRule="auto"/>
        <w:rPr>
          <w:sz w:val="18"/>
          <w:szCs w:val="18"/>
        </w:rPr>
      </w:pPr>
    </w:p>
    <w:p w14:paraId="2A2F56D0" w14:textId="7C9FA54A" w:rsidR="000D6329" w:rsidRPr="00735A36" w:rsidRDefault="00F67148" w:rsidP="000D6329">
      <w:pPr>
        <w:tabs>
          <w:tab w:val="left" w:pos="7767"/>
        </w:tabs>
        <w:rPr>
          <w:b/>
          <w:bCs/>
        </w:rPr>
      </w:pPr>
      <w:r w:rsidRPr="000046F6">
        <w:rPr>
          <w:noProof/>
        </w:rPr>
        <w:lastRenderedPageBreak/>
        <w:drawing>
          <wp:anchor distT="0" distB="0" distL="114300" distR="114300" simplePos="0" relativeHeight="251660288" behindDoc="0" locked="0" layoutInCell="1" allowOverlap="1" wp14:anchorId="017ED288" wp14:editId="5C8D4FFF">
            <wp:simplePos x="0" y="0"/>
            <wp:positionH relativeFrom="column">
              <wp:posOffset>-1270</wp:posOffset>
            </wp:positionH>
            <wp:positionV relativeFrom="paragraph">
              <wp:posOffset>289560</wp:posOffset>
            </wp:positionV>
            <wp:extent cx="5731510" cy="2232025"/>
            <wp:effectExtent l="0" t="0" r="2540" b="0"/>
            <wp:wrapTopAndBottom/>
            <wp:docPr id="746806785"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06785" name="Picture 1" descr="A screenshot of a spreadshee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731510" cy="2232025"/>
                    </a:xfrm>
                    <a:prstGeom prst="rect">
                      <a:avLst/>
                    </a:prstGeom>
                  </pic:spPr>
                </pic:pic>
              </a:graphicData>
            </a:graphic>
          </wp:anchor>
        </w:drawing>
      </w:r>
      <w:r w:rsidR="000D6329" w:rsidRPr="00A475E4">
        <w:rPr>
          <w:b/>
          <w:bCs/>
        </w:rPr>
        <w:t>Obrázek 3: Příklad korelační matice EMN vs. ostatní třídy aktiv, USD</w:t>
      </w:r>
      <w:r w:rsidR="000D6329">
        <w:rPr>
          <w:b/>
          <w:bCs/>
        </w:rPr>
        <w:tab/>
      </w:r>
    </w:p>
    <w:p w14:paraId="5A90D41D" w14:textId="4E934D95" w:rsidR="000D6329" w:rsidRPr="00F67148" w:rsidRDefault="000D6329" w:rsidP="000D6329">
      <w:pPr>
        <w:rPr>
          <w:i/>
          <w:iCs/>
          <w:sz w:val="18"/>
          <w:szCs w:val="18"/>
        </w:rPr>
      </w:pPr>
      <w:r w:rsidRPr="00F67148">
        <w:rPr>
          <w:i/>
          <w:iCs/>
          <w:sz w:val="18"/>
          <w:szCs w:val="18"/>
        </w:rPr>
        <w:t xml:space="preserve">Historická výkonnost není spolehlivým ukazatelem budoucích výsledků. Strategie, které investují na zahraničních trzích, mohou být ovlivněny změnami směnných kurzů, a tedy i výkonnosti. Zdroj: </w:t>
      </w:r>
      <w:proofErr w:type="spellStart"/>
      <w:r w:rsidRPr="00F67148">
        <w:rPr>
          <w:i/>
          <w:iCs/>
          <w:sz w:val="18"/>
          <w:szCs w:val="18"/>
        </w:rPr>
        <w:t>Fidelity</w:t>
      </w:r>
      <w:proofErr w:type="spellEnd"/>
      <w:r w:rsidRPr="00F67148">
        <w:rPr>
          <w:i/>
          <w:iCs/>
          <w:sz w:val="18"/>
          <w:szCs w:val="18"/>
        </w:rPr>
        <w:t xml:space="preserve"> International, prosinec 2024. Data o korelaci jsou orientační a slouží pouze pro ilustraci na základě srovnání tržně neutrální strategie </w:t>
      </w:r>
      <w:proofErr w:type="spellStart"/>
      <w:r w:rsidRPr="00F67148">
        <w:rPr>
          <w:i/>
          <w:iCs/>
          <w:sz w:val="18"/>
          <w:szCs w:val="18"/>
        </w:rPr>
        <w:t>Fidelity</w:t>
      </w:r>
      <w:proofErr w:type="spellEnd"/>
      <w:r w:rsidRPr="00F67148">
        <w:rPr>
          <w:i/>
          <w:iCs/>
          <w:sz w:val="18"/>
          <w:szCs w:val="18"/>
        </w:rPr>
        <w:t xml:space="preserve"> s různými indexy napříč třídami aktiv v období od září 2020 do prosince 2024. Měna: Americký dolar. Vliv transakčních nákladů a poplatků není zahrnut.</w:t>
      </w:r>
      <w:r w:rsidRPr="00DF2D3A">
        <w:rPr>
          <w:sz w:val="18"/>
          <w:szCs w:val="18"/>
        </w:rPr>
        <w:t xml:space="preserve"> </w:t>
      </w:r>
    </w:p>
    <w:p w14:paraId="09A748C9" w14:textId="77777777" w:rsidR="00F67148" w:rsidRPr="00DF2D3A" w:rsidRDefault="00F67148" w:rsidP="00F67148">
      <w:r w:rsidRPr="00DF2D3A">
        <w:t>Ačkoli současnému tržnímu prostředí stále více dominuje aktuální geopolitika, stále záleží na faktorech specifických pro danou společnost. Například podnik s flexibilním dodavatelským řetězcem může mít lepší pozici při zvládání cel. Stejně tak dodavatel se silnou cenovou silou může přenést více dodatečných nákladů a získat tak lepší pozici než konkurent, který je méně schopný řídit rostoucí náklady nebo měnící se poptávku. Ve strategii EMN jsou jednotlivé cenné papíry vybírány jak na dlouhé, tak na krátké straně a jsou váženy podle jejich podílu na riziku portfolia.</w:t>
      </w:r>
    </w:p>
    <w:p w14:paraId="7553744A" w14:textId="5D57C1DA" w:rsidR="008D2B6E" w:rsidRPr="009F6358" w:rsidRDefault="00F67148" w:rsidP="008D2B6E">
      <w:r>
        <w:rPr>
          <w:b/>
          <w:bCs/>
        </w:rPr>
        <w:t xml:space="preserve">Siemens </w:t>
      </w:r>
      <w:proofErr w:type="spellStart"/>
      <w:r>
        <w:rPr>
          <w:b/>
          <w:bCs/>
        </w:rPr>
        <w:t>Energy</w:t>
      </w:r>
      <w:proofErr w:type="spellEnd"/>
      <w:r>
        <w:rPr>
          <w:b/>
          <w:bCs/>
        </w:rPr>
        <w:t>: Argument pro dlouhou pozici</w:t>
      </w:r>
    </w:p>
    <w:p w14:paraId="50821061" w14:textId="77777777" w:rsidR="00F67148" w:rsidRPr="00DF2D3A" w:rsidRDefault="00F67148" w:rsidP="00F67148">
      <w:r w:rsidRPr="00DF2D3A">
        <w:t xml:space="preserve">Vezměme si například nadnárodní společnost Siemens </w:t>
      </w:r>
      <w:proofErr w:type="spellStart"/>
      <w:r w:rsidRPr="00DF2D3A">
        <w:t>Energy</w:t>
      </w:r>
      <w:proofErr w:type="spellEnd"/>
      <w:r w:rsidRPr="00DF2D3A">
        <w:t xml:space="preserve"> AG se sídlem v Německu. Její vedoucí postavení v oblasti výroby elektřiny a obnovitelných zdrojů energie ji předurčuje k tomu, aby těžila z přechodu na čistou energii, a poptávka po jejích technologiích by měla zajistit určitou cenovou sílu.</w:t>
      </w:r>
    </w:p>
    <w:p w14:paraId="6876CA08" w14:textId="77777777" w:rsidR="00F67148" w:rsidRPr="00DF2D3A" w:rsidRDefault="00F67148" w:rsidP="00F67148">
      <w:r w:rsidRPr="00DF2D3A">
        <w:t>Významná oblast služeb mezitím nabídla stabilní, opakující se příjmy, které zmírňují tlak na marže, a defenzivní tok peněžních prostředků, který je izolován od geopolitických událostí, jako je zavádění cel. Společnost Siemens by proto mohla poskytnout expozici vůči dlouhodobému růstu s defenzivními charakteristikami, což by vedlo k atraktivnímu potenciálu s ohledem na riziko (viz obrázek 4).</w:t>
      </w:r>
    </w:p>
    <w:p w14:paraId="2F02055C" w14:textId="77777777" w:rsidR="00F67148" w:rsidRDefault="00F67148" w:rsidP="00B61C27"/>
    <w:p w14:paraId="08D8648B" w14:textId="77777777" w:rsidR="00F67148" w:rsidRDefault="00F67148" w:rsidP="00B61C27"/>
    <w:p w14:paraId="3EB4C1AF" w14:textId="77777777" w:rsidR="00F67148" w:rsidRDefault="00F67148" w:rsidP="00B61C27"/>
    <w:p w14:paraId="710DB53F" w14:textId="77777777" w:rsidR="00F67148" w:rsidRDefault="00F67148" w:rsidP="00B61C27"/>
    <w:p w14:paraId="3558A2FB" w14:textId="77777777" w:rsidR="00F67148" w:rsidRDefault="00F67148" w:rsidP="00B61C27"/>
    <w:p w14:paraId="03DD39D7" w14:textId="141C36D5" w:rsidR="00F67148" w:rsidRDefault="00F67148" w:rsidP="00F67148">
      <w:r w:rsidRPr="00095695">
        <w:rPr>
          <w:noProof/>
        </w:rPr>
        <w:lastRenderedPageBreak/>
        <w:drawing>
          <wp:anchor distT="0" distB="0" distL="114300" distR="114300" simplePos="0" relativeHeight="251661312" behindDoc="0" locked="0" layoutInCell="1" allowOverlap="1" wp14:anchorId="060E5E47" wp14:editId="0CD33EFD">
            <wp:simplePos x="0" y="0"/>
            <wp:positionH relativeFrom="column">
              <wp:posOffset>44450</wp:posOffset>
            </wp:positionH>
            <wp:positionV relativeFrom="paragraph">
              <wp:posOffset>259080</wp:posOffset>
            </wp:positionV>
            <wp:extent cx="5731510" cy="3498215"/>
            <wp:effectExtent l="0" t="0" r="2540" b="6985"/>
            <wp:wrapSquare wrapText="bothSides"/>
            <wp:docPr id="799898049" name="Picture 1" descr="A graph with numbers and a green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98049" name="Picture 1" descr="A graph with numbers and a green arrow&#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731510" cy="3498215"/>
                    </a:xfrm>
                    <a:prstGeom prst="rect">
                      <a:avLst/>
                    </a:prstGeom>
                  </pic:spPr>
                </pic:pic>
              </a:graphicData>
            </a:graphic>
          </wp:anchor>
        </w:drawing>
      </w:r>
      <w:r w:rsidRPr="00843079">
        <w:rPr>
          <w:b/>
          <w:bCs/>
        </w:rPr>
        <w:t xml:space="preserve">Obrázek 4: Výkonnost ceny akcií Siemens </w:t>
      </w:r>
      <w:proofErr w:type="spellStart"/>
      <w:r w:rsidRPr="00843079">
        <w:rPr>
          <w:b/>
          <w:bCs/>
        </w:rPr>
        <w:t>Energy</w:t>
      </w:r>
      <w:proofErr w:type="spellEnd"/>
    </w:p>
    <w:p w14:paraId="05180898" w14:textId="038C18E9" w:rsidR="00F67148" w:rsidRPr="00F67148" w:rsidRDefault="00F67148" w:rsidP="00F67148">
      <w:pPr>
        <w:rPr>
          <w:i/>
          <w:iCs/>
          <w:sz w:val="18"/>
          <w:szCs w:val="18"/>
        </w:rPr>
      </w:pPr>
      <w:bookmarkStart w:id="0" w:name="_Hlk195623080"/>
      <w:r w:rsidRPr="00F67148">
        <w:rPr>
          <w:i/>
          <w:iCs/>
          <w:sz w:val="18"/>
          <w:szCs w:val="18"/>
        </w:rPr>
        <w:t>Historická výkonnost není spolehlivým ukazatelem budoucích výnosů. Odkaz na konkrétní cenné papíry nelze vykládat jako doporučení k nákupu nebo prodeji těchto cenných papírů a je uveden pouze pro ilustraci.</w:t>
      </w:r>
      <w:r w:rsidRPr="00F67148">
        <w:rPr>
          <w:i/>
          <w:iCs/>
          <w:sz w:val="18"/>
          <w:szCs w:val="18"/>
        </w:rPr>
        <w:t xml:space="preserve"> </w:t>
      </w:r>
      <w:r w:rsidRPr="00F67148">
        <w:rPr>
          <w:i/>
          <w:iCs/>
          <w:sz w:val="18"/>
          <w:szCs w:val="18"/>
        </w:rPr>
        <w:t xml:space="preserve">Zdroj: LSEG </w:t>
      </w:r>
      <w:proofErr w:type="spellStart"/>
      <w:r w:rsidRPr="00F67148">
        <w:rPr>
          <w:i/>
          <w:iCs/>
          <w:sz w:val="18"/>
          <w:szCs w:val="18"/>
        </w:rPr>
        <w:t>Datastream</w:t>
      </w:r>
      <w:proofErr w:type="spellEnd"/>
      <w:r w:rsidRPr="00F67148">
        <w:rPr>
          <w:i/>
          <w:iCs/>
          <w:sz w:val="18"/>
          <w:szCs w:val="18"/>
        </w:rPr>
        <w:t>, 31. března 2025.</w:t>
      </w:r>
    </w:p>
    <w:bookmarkEnd w:id="0"/>
    <w:p w14:paraId="485187B8" w14:textId="4C3A9392" w:rsidR="00343136" w:rsidRPr="009F6358" w:rsidRDefault="00F67148" w:rsidP="00343136">
      <w:proofErr w:type="spellStart"/>
      <w:r>
        <w:rPr>
          <w:b/>
          <w:bCs/>
        </w:rPr>
        <w:t>Appian</w:t>
      </w:r>
      <w:proofErr w:type="spellEnd"/>
      <w:r>
        <w:rPr>
          <w:b/>
          <w:bCs/>
        </w:rPr>
        <w:t>: Spíše nakrátko</w:t>
      </w:r>
    </w:p>
    <w:p w14:paraId="65F1EF21" w14:textId="77777777" w:rsidR="00F67148" w:rsidRPr="00843079" w:rsidRDefault="00F67148" w:rsidP="00F67148">
      <w:r w:rsidRPr="00843079">
        <w:t xml:space="preserve">Na druhém konci spektra byly společnosti jako </w:t>
      </w:r>
      <w:proofErr w:type="spellStart"/>
      <w:r w:rsidRPr="00843079">
        <w:t>Appian</w:t>
      </w:r>
      <w:proofErr w:type="spellEnd"/>
      <w:r w:rsidRPr="00843079">
        <w:t xml:space="preserve"> </w:t>
      </w:r>
      <w:proofErr w:type="spellStart"/>
      <w:r w:rsidRPr="00843079">
        <w:t>Corp</w:t>
      </w:r>
      <w:proofErr w:type="spellEnd"/>
      <w:r w:rsidRPr="00843079">
        <w:t xml:space="preserve">., americká společnost zabývající se cloud </w:t>
      </w:r>
      <w:proofErr w:type="spellStart"/>
      <w:r w:rsidRPr="00843079">
        <w:t>computingem</w:t>
      </w:r>
      <w:proofErr w:type="spellEnd"/>
      <w:r w:rsidRPr="00843079">
        <w:t xml:space="preserve"> a podnikovým softwarem. Zpočátku se zdála být nabídka společnosti přesvědčivá, protože nabízela </w:t>
      </w:r>
      <w:proofErr w:type="spellStart"/>
      <w:r w:rsidRPr="00843079">
        <w:t>nízkokódovou</w:t>
      </w:r>
      <w:proofErr w:type="spellEnd"/>
      <w:r w:rsidRPr="00843079">
        <w:t xml:space="preserve"> (</w:t>
      </w:r>
      <w:proofErr w:type="spellStart"/>
      <w:r w:rsidRPr="00843079">
        <w:t>low-code</w:t>
      </w:r>
      <w:proofErr w:type="spellEnd"/>
      <w:r w:rsidRPr="00843079">
        <w:t>) platformu a umožňovala vývojářům vytvářet a přizpůsobovat softwarové aplikace rychleji, než to umožňují běžné metody.</w:t>
      </w:r>
    </w:p>
    <w:p w14:paraId="535DBAF3" w14:textId="77777777" w:rsidR="00F67148" w:rsidRPr="00843079" w:rsidRDefault="00F67148" w:rsidP="00F67148">
      <w:r w:rsidRPr="00843079">
        <w:t xml:space="preserve">Tyto silné stránky však musely být zohledněny spolu se strukturálními nedostatky. Zaprvé, sílící konkurence na trhu </w:t>
      </w:r>
      <w:proofErr w:type="spellStart"/>
      <w:r w:rsidRPr="00843079">
        <w:t>nízkokódových</w:t>
      </w:r>
      <w:proofErr w:type="spellEnd"/>
      <w:r w:rsidRPr="00843079">
        <w:t xml:space="preserve"> platforem potenciálně podhodnocuje ceny zavedených firem, jako je </w:t>
      </w:r>
      <w:proofErr w:type="spellStart"/>
      <w:r w:rsidRPr="00843079">
        <w:t>Appian</w:t>
      </w:r>
      <w:proofErr w:type="spellEnd"/>
      <w:r w:rsidRPr="00843079">
        <w:t xml:space="preserve">, a postupný tlak na ceny pravděpodobně poškodí ziskovost. Společnost </w:t>
      </w:r>
      <w:proofErr w:type="spellStart"/>
      <w:r w:rsidRPr="00843079">
        <w:t>Appian</w:t>
      </w:r>
      <w:proofErr w:type="spellEnd"/>
      <w:r w:rsidRPr="00843079">
        <w:t xml:space="preserve"> je díky své skromné velikosti také náchylnější ke snižování hrubé marže.</w:t>
      </w:r>
    </w:p>
    <w:p w14:paraId="07E2CEB2" w14:textId="47856052" w:rsidR="00F67148" w:rsidRDefault="00F67148" w:rsidP="00F67148">
      <w:r w:rsidRPr="00843079">
        <w:t xml:space="preserve">Zadruhé, interní neefektivita omezovala její schopnost rozšiřovat příjmy z předplatného, což je v softwarovém odvětví klíčovým faktorem pro ocenění. Zatřetí, technické faktory, které pomohly akciím </w:t>
      </w:r>
      <w:proofErr w:type="spellStart"/>
      <w:r w:rsidRPr="00843079">
        <w:t>Appian</w:t>
      </w:r>
      <w:proofErr w:type="spellEnd"/>
      <w:r w:rsidRPr="00843079">
        <w:t xml:space="preserve"> na cestě vzhůru, se obrátily, zejména s tím, jak opadlo nadšení pro „digitální transformaci“. Přestože nabídka produktů společnosti </w:t>
      </w:r>
      <w:proofErr w:type="spellStart"/>
      <w:r w:rsidRPr="00843079">
        <w:t>Appian</w:t>
      </w:r>
      <w:proofErr w:type="spellEnd"/>
      <w:r w:rsidRPr="00843079">
        <w:t xml:space="preserve"> reaguje na rostoucí poptávku v softwarovém odvětví, došlo k oslabení strategické pozice společnosti (viz obrázek 5).</w:t>
      </w:r>
    </w:p>
    <w:p w14:paraId="259CD7B5" w14:textId="77777777" w:rsidR="00F67148" w:rsidRDefault="00F67148" w:rsidP="00F67148">
      <w:pPr>
        <w:pStyle w:val="F2-zkladn"/>
      </w:pPr>
    </w:p>
    <w:p w14:paraId="1F34CE4C" w14:textId="77777777" w:rsidR="00F67148" w:rsidRPr="00F67148" w:rsidRDefault="00F67148" w:rsidP="00F67148">
      <w:pPr>
        <w:pStyle w:val="F2-zkladn"/>
      </w:pPr>
    </w:p>
    <w:p w14:paraId="4784E570" w14:textId="2E5D9ABB" w:rsidR="00F67148" w:rsidRDefault="00F67148" w:rsidP="00F67148">
      <w:r w:rsidRPr="003A62D1">
        <w:rPr>
          <w:noProof/>
        </w:rPr>
        <w:lastRenderedPageBreak/>
        <w:drawing>
          <wp:anchor distT="0" distB="0" distL="114300" distR="114300" simplePos="0" relativeHeight="251662336" behindDoc="0" locked="0" layoutInCell="1" allowOverlap="1" wp14:anchorId="65EBDD20" wp14:editId="72B4E5F1">
            <wp:simplePos x="0" y="0"/>
            <wp:positionH relativeFrom="column">
              <wp:posOffset>-1270</wp:posOffset>
            </wp:positionH>
            <wp:positionV relativeFrom="paragraph">
              <wp:posOffset>304800</wp:posOffset>
            </wp:positionV>
            <wp:extent cx="5731510" cy="3138170"/>
            <wp:effectExtent l="0" t="0" r="2540" b="5080"/>
            <wp:wrapTopAndBottom/>
            <wp:docPr id="895908751" name="Picture 1" descr="A graph with numbers and a red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08751" name="Picture 1" descr="A graph with numbers and a red arrow&#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731510" cy="3138170"/>
                    </a:xfrm>
                    <a:prstGeom prst="rect">
                      <a:avLst/>
                    </a:prstGeom>
                  </pic:spPr>
                </pic:pic>
              </a:graphicData>
            </a:graphic>
          </wp:anchor>
        </w:drawing>
      </w:r>
      <w:r w:rsidRPr="00843079">
        <w:rPr>
          <w:b/>
          <w:bCs/>
        </w:rPr>
        <w:t xml:space="preserve">Obrázek 5: Výkonnost akcií společnosti </w:t>
      </w:r>
      <w:proofErr w:type="spellStart"/>
      <w:r w:rsidRPr="00843079">
        <w:rPr>
          <w:b/>
          <w:bCs/>
        </w:rPr>
        <w:t>Appian</w:t>
      </w:r>
      <w:proofErr w:type="spellEnd"/>
      <w:r w:rsidRPr="00843079">
        <w:rPr>
          <w:b/>
          <w:bCs/>
        </w:rPr>
        <w:t xml:space="preserve"> </w:t>
      </w:r>
      <w:proofErr w:type="spellStart"/>
      <w:r w:rsidRPr="00843079">
        <w:rPr>
          <w:b/>
          <w:bCs/>
        </w:rPr>
        <w:t>Corp</w:t>
      </w:r>
      <w:proofErr w:type="spellEnd"/>
      <w:r w:rsidRPr="00843079">
        <w:rPr>
          <w:b/>
          <w:bCs/>
        </w:rPr>
        <w:t xml:space="preserve">. </w:t>
      </w:r>
    </w:p>
    <w:p w14:paraId="7BF7A117" w14:textId="4ED2E602" w:rsidR="00F67148" w:rsidRPr="00F67148" w:rsidRDefault="00F67148" w:rsidP="00F67148">
      <w:pPr>
        <w:rPr>
          <w:i/>
          <w:iCs/>
          <w:sz w:val="18"/>
          <w:szCs w:val="18"/>
        </w:rPr>
      </w:pPr>
      <w:r w:rsidRPr="00F67148">
        <w:rPr>
          <w:i/>
          <w:iCs/>
          <w:sz w:val="18"/>
          <w:szCs w:val="18"/>
        </w:rPr>
        <w:t>Historická výkonnost není spolehlivým ukazatelem budoucích výnosů. Odkaz na konkrétní cenné papíry nelze vykládat jako doporučení k nákupu nebo prodeji těchto cenných papírů a je uveden pouze pro ilustraci.</w:t>
      </w:r>
      <w:r w:rsidRPr="00F67148">
        <w:rPr>
          <w:i/>
          <w:iCs/>
          <w:sz w:val="18"/>
          <w:szCs w:val="18"/>
        </w:rPr>
        <w:t xml:space="preserve"> </w:t>
      </w:r>
      <w:r w:rsidRPr="00F67148">
        <w:rPr>
          <w:i/>
          <w:iCs/>
          <w:sz w:val="18"/>
          <w:szCs w:val="18"/>
        </w:rPr>
        <w:t xml:space="preserve">Zdroj: LSEG </w:t>
      </w:r>
      <w:proofErr w:type="spellStart"/>
      <w:r w:rsidRPr="00F67148">
        <w:rPr>
          <w:i/>
          <w:iCs/>
          <w:sz w:val="18"/>
          <w:szCs w:val="18"/>
        </w:rPr>
        <w:t>Datastream</w:t>
      </w:r>
      <w:proofErr w:type="spellEnd"/>
      <w:r w:rsidRPr="00F67148">
        <w:rPr>
          <w:i/>
          <w:iCs/>
          <w:sz w:val="18"/>
          <w:szCs w:val="18"/>
        </w:rPr>
        <w:t>, 31. března 2025.</w:t>
      </w:r>
    </w:p>
    <w:p w14:paraId="7078CE2C" w14:textId="63E7D787" w:rsidR="00F67148" w:rsidRDefault="00F67148" w:rsidP="00F67148">
      <w:pPr>
        <w:rPr>
          <w:b/>
          <w:bCs/>
        </w:rPr>
      </w:pPr>
      <w:r w:rsidRPr="00843079">
        <w:rPr>
          <w:b/>
          <w:bCs/>
        </w:rPr>
        <w:t>Využití divergence akcií</w:t>
      </w:r>
    </w:p>
    <w:p w14:paraId="658A67BE" w14:textId="4799D6FF" w:rsidR="00F67148" w:rsidRPr="00843079" w:rsidRDefault="00F67148" w:rsidP="00F67148">
      <w:r w:rsidRPr="00843079">
        <w:t>Takové rozdíly v základních ukazatelích společností mohou vést k větším rozdílům mezi vítězi a poraženými (viz obrázek 6), když se vzroste nejistota ohledně podmínek volatility. Z vyššího potenciálu alfa by měly těžit strategie tržně neutrálního přístupu k akciím. Ačkoli stejnou dynamiku využívají i strategie založené pouze na dlouhých pozicích, oblast příležitostí pro strategie EMN je širší (viz obrázek 7), částečně i díky možnosti zaujímat dlouhé i krátké pozice, a podle našeho názoru je diverzifikovanější.</w:t>
      </w:r>
    </w:p>
    <w:p w14:paraId="5F641E9D" w14:textId="77777777" w:rsidR="00F67148" w:rsidRDefault="00F67148" w:rsidP="00F67148">
      <w:pPr>
        <w:rPr>
          <w:b/>
          <w:bCs/>
        </w:rPr>
      </w:pPr>
    </w:p>
    <w:p w14:paraId="012D5863" w14:textId="5D005EA7" w:rsidR="00F67148" w:rsidRDefault="00F67148" w:rsidP="00F67148">
      <w:r w:rsidRPr="005D16EF">
        <w:rPr>
          <w:noProof/>
        </w:rPr>
        <w:lastRenderedPageBreak/>
        <w:drawing>
          <wp:anchor distT="0" distB="0" distL="114300" distR="114300" simplePos="0" relativeHeight="251663360" behindDoc="0" locked="0" layoutInCell="1" allowOverlap="1" wp14:anchorId="19A7967C" wp14:editId="06987AF5">
            <wp:simplePos x="0" y="0"/>
            <wp:positionH relativeFrom="column">
              <wp:posOffset>-24130</wp:posOffset>
            </wp:positionH>
            <wp:positionV relativeFrom="paragraph">
              <wp:posOffset>303530</wp:posOffset>
            </wp:positionV>
            <wp:extent cx="5731510" cy="2727960"/>
            <wp:effectExtent l="0" t="0" r="2540" b="0"/>
            <wp:wrapTopAndBottom/>
            <wp:docPr id="762659365" name="Picture 1" descr="A graph showing the time of a l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59365" name="Picture 1" descr="A graph showing the time of a los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731510" cy="2727960"/>
                    </a:xfrm>
                    <a:prstGeom prst="rect">
                      <a:avLst/>
                    </a:prstGeom>
                  </pic:spPr>
                </pic:pic>
              </a:graphicData>
            </a:graphic>
          </wp:anchor>
        </w:drawing>
      </w:r>
      <w:r w:rsidRPr="00843079">
        <w:rPr>
          <w:b/>
          <w:bCs/>
        </w:rPr>
        <w:t xml:space="preserve">Obrázek 6: Rozptyl akcií rostoucí od Covidu, CBOE S&amp;P 500 </w:t>
      </w:r>
      <w:proofErr w:type="spellStart"/>
      <w:r w:rsidRPr="00843079">
        <w:rPr>
          <w:b/>
          <w:bCs/>
        </w:rPr>
        <w:t>Dispersion</w:t>
      </w:r>
      <w:proofErr w:type="spellEnd"/>
      <w:r w:rsidRPr="00843079">
        <w:rPr>
          <w:b/>
          <w:bCs/>
        </w:rPr>
        <w:t xml:space="preserve"> Basket Index NTR </w:t>
      </w:r>
    </w:p>
    <w:p w14:paraId="43A485A3" w14:textId="68F89666" w:rsidR="00F67148" w:rsidRPr="00F67148" w:rsidRDefault="00F67148" w:rsidP="00F67148">
      <w:pPr>
        <w:rPr>
          <w:i/>
          <w:iCs/>
          <w:sz w:val="18"/>
          <w:szCs w:val="18"/>
        </w:rPr>
      </w:pPr>
      <w:r w:rsidRPr="00F67148">
        <w:rPr>
          <w:i/>
          <w:iCs/>
          <w:sz w:val="18"/>
          <w:szCs w:val="18"/>
        </w:rPr>
        <w:t xml:space="preserve">Zdroj: </w:t>
      </w:r>
      <w:proofErr w:type="spellStart"/>
      <w:r w:rsidRPr="00F67148">
        <w:rPr>
          <w:i/>
          <w:iCs/>
          <w:sz w:val="18"/>
          <w:szCs w:val="18"/>
        </w:rPr>
        <w:t>bfinance</w:t>
      </w:r>
      <w:proofErr w:type="spellEnd"/>
      <w:r w:rsidRPr="00F67148">
        <w:rPr>
          <w:i/>
          <w:iCs/>
          <w:sz w:val="18"/>
          <w:szCs w:val="18"/>
        </w:rPr>
        <w:t xml:space="preserve">, na základě dat agentury </w:t>
      </w:r>
      <w:proofErr w:type="spellStart"/>
      <w:r w:rsidRPr="00F67148">
        <w:rPr>
          <w:i/>
          <w:iCs/>
          <w:sz w:val="18"/>
          <w:szCs w:val="18"/>
        </w:rPr>
        <w:t>Bloomberg</w:t>
      </w:r>
      <w:proofErr w:type="spellEnd"/>
      <w:r w:rsidRPr="00F67148">
        <w:rPr>
          <w:i/>
          <w:iCs/>
          <w:sz w:val="18"/>
          <w:szCs w:val="18"/>
        </w:rPr>
        <w:t xml:space="preserve"> ke dni 31. březen 2024. Index rozptylu </w:t>
      </w:r>
      <w:proofErr w:type="spellStart"/>
      <w:r w:rsidRPr="00F67148">
        <w:rPr>
          <w:i/>
          <w:iCs/>
          <w:sz w:val="18"/>
          <w:szCs w:val="18"/>
        </w:rPr>
        <w:t>Cboe</w:t>
      </w:r>
      <w:proofErr w:type="spellEnd"/>
      <w:r w:rsidRPr="00F67148">
        <w:rPr>
          <w:i/>
          <w:iCs/>
          <w:sz w:val="18"/>
          <w:szCs w:val="18"/>
        </w:rPr>
        <w:t xml:space="preserve"> S&amp;P 500 (DSPX) měří očekávaný rozptyl indexu S&amp;P 500 v příštích 30 kalendářních dnech, vypočtený z cen opcí na index S&amp;P 500 a cen opcí na jednotlivé akcie vybraných složek indexu S&amp;P 500 pomocí modifikované verze metodiky VIX. Index rozptylu představuje ukazatel očekávání trhu ohledně velikosti idiosynkratických pohybů cen složek indexu S&amp;P 500 v příštích 30 dnech. Indexy nejsou </w:t>
      </w:r>
      <w:proofErr w:type="spellStart"/>
      <w:r w:rsidRPr="00F67148">
        <w:rPr>
          <w:i/>
          <w:iCs/>
          <w:sz w:val="18"/>
          <w:szCs w:val="18"/>
        </w:rPr>
        <w:t>investovatelné</w:t>
      </w:r>
      <w:proofErr w:type="spellEnd"/>
      <w:r w:rsidRPr="00F67148">
        <w:rPr>
          <w:i/>
          <w:iCs/>
          <w:sz w:val="18"/>
          <w:szCs w:val="18"/>
        </w:rPr>
        <w:t xml:space="preserve"> a „výnosy“ indexů, jako je S&amp;P 500, nezahrnují náklady potřebné k investování. </w:t>
      </w:r>
    </w:p>
    <w:p w14:paraId="17FD1EEE" w14:textId="0B024308" w:rsidR="00B61C27" w:rsidRPr="00A81F64" w:rsidRDefault="00A81F64" w:rsidP="00B61C27">
      <w:pPr>
        <w:rPr>
          <w:b/>
          <w:bCs/>
        </w:rPr>
      </w:pPr>
      <w:r w:rsidRPr="00B461B9">
        <w:rPr>
          <w:noProof/>
        </w:rPr>
        <w:drawing>
          <wp:anchor distT="0" distB="0" distL="114300" distR="114300" simplePos="0" relativeHeight="251664384" behindDoc="0" locked="0" layoutInCell="1" allowOverlap="1" wp14:anchorId="2AB497C2" wp14:editId="1FF4C990">
            <wp:simplePos x="0" y="0"/>
            <wp:positionH relativeFrom="column">
              <wp:posOffset>-24130</wp:posOffset>
            </wp:positionH>
            <wp:positionV relativeFrom="paragraph">
              <wp:posOffset>679450</wp:posOffset>
            </wp:positionV>
            <wp:extent cx="5731510" cy="2223135"/>
            <wp:effectExtent l="0" t="0" r="2540" b="5715"/>
            <wp:wrapTopAndBottom/>
            <wp:docPr id="351747653" name="Picture 1" descr="A graph of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47653" name="Picture 1" descr="A graph of different colored square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731510" cy="2223135"/>
                    </a:xfrm>
                    <a:prstGeom prst="rect">
                      <a:avLst/>
                    </a:prstGeom>
                  </pic:spPr>
                </pic:pic>
              </a:graphicData>
            </a:graphic>
          </wp:anchor>
        </w:drawing>
      </w:r>
      <w:r w:rsidR="00F67148" w:rsidRPr="00843079">
        <w:rPr>
          <w:b/>
          <w:bCs/>
        </w:rPr>
        <w:t xml:space="preserve">Obrázek </w:t>
      </w:r>
      <w:r w:rsidR="00F67148">
        <w:rPr>
          <w:b/>
          <w:bCs/>
        </w:rPr>
        <w:t>7</w:t>
      </w:r>
      <w:r w:rsidR="00F67148" w:rsidRPr="00843079">
        <w:rPr>
          <w:b/>
          <w:bCs/>
        </w:rPr>
        <w:t>:</w:t>
      </w:r>
      <w:r w:rsidRPr="00A81F64">
        <w:t xml:space="preserve"> </w:t>
      </w:r>
      <w:r w:rsidRPr="00A81F64">
        <w:rPr>
          <w:b/>
          <w:bCs/>
        </w:rPr>
        <w:t>Příležitosti k výnosům v akciových strategiích neutrálních vůči trhu napříč cykly a styly</w:t>
      </w:r>
    </w:p>
    <w:p w14:paraId="71CA5C4A" w14:textId="77777777" w:rsidR="00A81F64" w:rsidRPr="00A81F64" w:rsidRDefault="00A81F64" w:rsidP="00A81F64">
      <w:pPr>
        <w:rPr>
          <w:i/>
          <w:iCs/>
          <w:sz w:val="18"/>
          <w:szCs w:val="18"/>
        </w:rPr>
      </w:pPr>
      <w:r w:rsidRPr="00A81F64">
        <w:rPr>
          <w:i/>
          <w:iCs/>
          <w:sz w:val="18"/>
          <w:szCs w:val="18"/>
        </w:rPr>
        <w:t xml:space="preserve">Zdroj: </w:t>
      </w:r>
      <w:proofErr w:type="spellStart"/>
      <w:r w:rsidRPr="00A81F64">
        <w:rPr>
          <w:i/>
          <w:iCs/>
          <w:sz w:val="18"/>
          <w:szCs w:val="18"/>
        </w:rPr>
        <w:t>Fidelity</w:t>
      </w:r>
      <w:proofErr w:type="spellEnd"/>
      <w:r w:rsidRPr="00A81F64">
        <w:rPr>
          <w:i/>
          <w:iCs/>
          <w:sz w:val="18"/>
          <w:szCs w:val="18"/>
        </w:rPr>
        <w:t xml:space="preserve"> International, data ke dni 31. března 2025. Data o fondech představují </w:t>
      </w:r>
      <w:proofErr w:type="spellStart"/>
      <w:r w:rsidRPr="00A81F64">
        <w:rPr>
          <w:i/>
          <w:iCs/>
          <w:sz w:val="18"/>
          <w:szCs w:val="18"/>
        </w:rPr>
        <w:t>Fidelity</w:t>
      </w:r>
      <w:proofErr w:type="spellEnd"/>
      <w:r w:rsidRPr="00A81F64">
        <w:rPr>
          <w:i/>
          <w:iCs/>
          <w:sz w:val="18"/>
          <w:szCs w:val="18"/>
        </w:rPr>
        <w:t xml:space="preserve"> </w:t>
      </w:r>
      <w:proofErr w:type="spellStart"/>
      <w:r w:rsidRPr="00A81F64">
        <w:rPr>
          <w:i/>
          <w:iCs/>
          <w:sz w:val="18"/>
          <w:szCs w:val="18"/>
        </w:rPr>
        <w:t>Funds</w:t>
      </w:r>
      <w:proofErr w:type="spellEnd"/>
      <w:r w:rsidRPr="00A81F64">
        <w:rPr>
          <w:i/>
          <w:iCs/>
          <w:sz w:val="18"/>
          <w:szCs w:val="18"/>
        </w:rPr>
        <w:t xml:space="preserve"> – </w:t>
      </w:r>
      <w:proofErr w:type="spellStart"/>
      <w:r w:rsidRPr="00A81F64">
        <w:rPr>
          <w:i/>
          <w:iCs/>
          <w:sz w:val="18"/>
          <w:szCs w:val="18"/>
        </w:rPr>
        <w:t>Absolute</w:t>
      </w:r>
      <w:proofErr w:type="spellEnd"/>
      <w:r w:rsidRPr="00A81F64">
        <w:rPr>
          <w:i/>
          <w:iCs/>
          <w:sz w:val="18"/>
          <w:szCs w:val="18"/>
        </w:rPr>
        <w:t xml:space="preserve"> Return </w:t>
      </w:r>
      <w:proofErr w:type="spellStart"/>
      <w:r w:rsidRPr="00A81F64">
        <w:rPr>
          <w:i/>
          <w:iCs/>
          <w:sz w:val="18"/>
          <w:szCs w:val="18"/>
        </w:rPr>
        <w:t>Global</w:t>
      </w:r>
      <w:proofErr w:type="spellEnd"/>
      <w:r w:rsidRPr="00A81F64">
        <w:rPr>
          <w:i/>
          <w:iCs/>
          <w:sz w:val="18"/>
          <w:szCs w:val="18"/>
        </w:rPr>
        <w:t xml:space="preserve"> </w:t>
      </w:r>
      <w:proofErr w:type="spellStart"/>
      <w:r w:rsidRPr="00A81F64">
        <w:rPr>
          <w:i/>
          <w:iCs/>
          <w:sz w:val="18"/>
          <w:szCs w:val="18"/>
        </w:rPr>
        <w:t>Equity</w:t>
      </w:r>
      <w:proofErr w:type="spellEnd"/>
      <w:r w:rsidRPr="00A81F64">
        <w:rPr>
          <w:i/>
          <w:iCs/>
          <w:sz w:val="18"/>
          <w:szCs w:val="18"/>
        </w:rPr>
        <w:t xml:space="preserve">. Srovnávací index: USD Cash Index (SOFR Index). Výkonnost je uvedena v USD bez poplatků. Býčí vs. medvědí trh definovaný podle výnosů reprezentativního globálního akciového indexu (tj. MSCI All Country </w:t>
      </w:r>
      <w:proofErr w:type="spellStart"/>
      <w:r w:rsidRPr="00A81F64">
        <w:rPr>
          <w:i/>
          <w:iCs/>
          <w:sz w:val="18"/>
          <w:szCs w:val="18"/>
        </w:rPr>
        <w:t>World</w:t>
      </w:r>
      <w:proofErr w:type="spellEnd"/>
      <w:r w:rsidRPr="00A81F64">
        <w:rPr>
          <w:i/>
          <w:iCs/>
          <w:sz w:val="18"/>
          <w:szCs w:val="18"/>
        </w:rPr>
        <w:t xml:space="preserve">). Volatilita definovaná jako změna indexu volatility CBOE (index VIX). Růstové vs. hodnotové trhy definované podle výnosů reprezentativních globálních akciových indexů růstu a hodnoty (MSCI All Country </w:t>
      </w:r>
      <w:proofErr w:type="spellStart"/>
      <w:r w:rsidRPr="00A81F64">
        <w:rPr>
          <w:i/>
          <w:iCs/>
          <w:sz w:val="18"/>
          <w:szCs w:val="18"/>
        </w:rPr>
        <w:t>World</w:t>
      </w:r>
      <w:proofErr w:type="spellEnd"/>
      <w:r w:rsidRPr="00A81F64">
        <w:rPr>
          <w:i/>
          <w:iCs/>
          <w:sz w:val="18"/>
          <w:szCs w:val="18"/>
        </w:rPr>
        <w:t xml:space="preserve"> </w:t>
      </w:r>
      <w:proofErr w:type="spellStart"/>
      <w:r w:rsidRPr="00A81F64">
        <w:rPr>
          <w:i/>
          <w:iCs/>
          <w:sz w:val="18"/>
          <w:szCs w:val="18"/>
        </w:rPr>
        <w:t>Growth</w:t>
      </w:r>
      <w:proofErr w:type="spellEnd"/>
      <w:r w:rsidRPr="00A81F64">
        <w:rPr>
          <w:i/>
          <w:iCs/>
          <w:sz w:val="18"/>
          <w:szCs w:val="18"/>
        </w:rPr>
        <w:t xml:space="preserve"> a MSCI All Country </w:t>
      </w:r>
      <w:proofErr w:type="spellStart"/>
      <w:r w:rsidRPr="00A81F64">
        <w:rPr>
          <w:i/>
          <w:iCs/>
          <w:sz w:val="18"/>
          <w:szCs w:val="18"/>
        </w:rPr>
        <w:t>World</w:t>
      </w:r>
      <w:proofErr w:type="spellEnd"/>
      <w:r w:rsidRPr="00A81F64">
        <w:rPr>
          <w:i/>
          <w:iCs/>
          <w:sz w:val="18"/>
          <w:szCs w:val="18"/>
        </w:rPr>
        <w:t xml:space="preserve"> </w:t>
      </w:r>
      <w:proofErr w:type="spellStart"/>
      <w:r w:rsidRPr="00A81F64">
        <w:rPr>
          <w:i/>
          <w:iCs/>
          <w:sz w:val="18"/>
          <w:szCs w:val="18"/>
        </w:rPr>
        <w:t>Value</w:t>
      </w:r>
      <w:proofErr w:type="spellEnd"/>
      <w:r w:rsidRPr="00A81F64">
        <w:rPr>
          <w:i/>
          <w:iCs/>
          <w:sz w:val="18"/>
          <w:szCs w:val="18"/>
        </w:rPr>
        <w:t xml:space="preserve">). Velké vs. malé trhy definované podle výnosů reprezentativních </w:t>
      </w:r>
      <w:r w:rsidRPr="00A81F64">
        <w:rPr>
          <w:i/>
          <w:iCs/>
          <w:sz w:val="18"/>
          <w:szCs w:val="18"/>
        </w:rPr>
        <w:lastRenderedPageBreak/>
        <w:t xml:space="preserve">globálních akciových indexů velkých a malých titulů (MSCI All Country </w:t>
      </w:r>
      <w:proofErr w:type="spellStart"/>
      <w:r w:rsidRPr="00A81F64">
        <w:rPr>
          <w:i/>
          <w:iCs/>
          <w:sz w:val="18"/>
          <w:szCs w:val="18"/>
        </w:rPr>
        <w:t>World</w:t>
      </w:r>
      <w:proofErr w:type="spellEnd"/>
      <w:r w:rsidRPr="00A81F64">
        <w:rPr>
          <w:i/>
          <w:iCs/>
          <w:sz w:val="18"/>
          <w:szCs w:val="18"/>
        </w:rPr>
        <w:t xml:space="preserve"> </w:t>
      </w:r>
      <w:proofErr w:type="spellStart"/>
      <w:r w:rsidRPr="00A81F64">
        <w:rPr>
          <w:i/>
          <w:iCs/>
          <w:sz w:val="18"/>
          <w:szCs w:val="18"/>
        </w:rPr>
        <w:t>Large</w:t>
      </w:r>
      <w:proofErr w:type="spellEnd"/>
      <w:r w:rsidRPr="00A81F64">
        <w:rPr>
          <w:i/>
          <w:iCs/>
          <w:sz w:val="18"/>
          <w:szCs w:val="18"/>
        </w:rPr>
        <w:t xml:space="preserve"> Cap a MSCI All Country </w:t>
      </w:r>
      <w:proofErr w:type="spellStart"/>
      <w:r w:rsidRPr="00A81F64">
        <w:rPr>
          <w:i/>
          <w:iCs/>
          <w:sz w:val="18"/>
          <w:szCs w:val="18"/>
        </w:rPr>
        <w:t>World</w:t>
      </w:r>
      <w:proofErr w:type="spellEnd"/>
      <w:r w:rsidRPr="00A81F64">
        <w:rPr>
          <w:i/>
          <w:iCs/>
          <w:sz w:val="18"/>
          <w:szCs w:val="18"/>
        </w:rPr>
        <w:t xml:space="preserve"> </w:t>
      </w:r>
      <w:proofErr w:type="spellStart"/>
      <w:r w:rsidRPr="00A81F64">
        <w:rPr>
          <w:i/>
          <w:iCs/>
          <w:sz w:val="18"/>
          <w:szCs w:val="18"/>
        </w:rPr>
        <w:t>Small</w:t>
      </w:r>
      <w:proofErr w:type="spellEnd"/>
      <w:r w:rsidRPr="00A81F64">
        <w:rPr>
          <w:i/>
          <w:iCs/>
          <w:sz w:val="18"/>
          <w:szCs w:val="18"/>
        </w:rPr>
        <w:t xml:space="preserve"> Cap). </w:t>
      </w:r>
    </w:p>
    <w:p w14:paraId="5D161BCE" w14:textId="77777777" w:rsidR="00A81F64" w:rsidRPr="00C53A4A" w:rsidRDefault="00A81F64" w:rsidP="00A81F64">
      <w:r w:rsidRPr="00C53A4A">
        <w:t xml:space="preserve">V současném investičním prostředí, které se vyznačuje zvýšenou nejistotou, by měl tržně neutrální přístup k akciím při sestavování portfolia s nulovou betou poskytnout určitou ochranu před obecnějšími tržními turbulencemi. Díky posílení idiosynkratických příležitostí </w:t>
      </w:r>
      <w:r>
        <w:t xml:space="preserve">u alfy </w:t>
      </w:r>
      <w:r w:rsidRPr="00C53A4A">
        <w:t>a odměňování aktivního výběru akcií mohou strategie EMN s prospěchem využívat sílu volatility.</w:t>
      </w:r>
    </w:p>
    <w:p w14:paraId="5CC6DE4F" w14:textId="77777777" w:rsidR="00B61C27" w:rsidRDefault="00B61C27" w:rsidP="002027ED">
      <w:pPr>
        <w:spacing w:before="0" w:line="240" w:lineRule="atLeast"/>
      </w:pPr>
    </w:p>
    <w:p w14:paraId="6CECD3A4" w14:textId="77777777" w:rsidR="00B61C27" w:rsidRDefault="00B61C27" w:rsidP="002027ED">
      <w:pPr>
        <w:spacing w:before="0" w:line="240" w:lineRule="atLeast"/>
        <w:rPr>
          <w:b/>
        </w:rPr>
      </w:pPr>
    </w:p>
    <w:p w14:paraId="562DDE79" w14:textId="77777777" w:rsidR="00B61C27" w:rsidRDefault="00B61C27" w:rsidP="002027ED">
      <w:pPr>
        <w:spacing w:before="0" w:line="240" w:lineRule="atLeast"/>
        <w:rPr>
          <w:b/>
        </w:rPr>
      </w:pPr>
    </w:p>
    <w:p w14:paraId="79C0EF45" w14:textId="54803995"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9"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lastRenderedPageBreak/>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58DAE817" w:rsidR="00D20058" w:rsidRDefault="00A81F64" w:rsidP="00A81F64">
      <w:pPr>
        <w:pStyle w:val="F2-zkladn"/>
      </w:pPr>
      <w:r w:rsidRPr="00A81F64">
        <w:rPr>
          <w:lang w:val="de-AT"/>
        </w:rPr>
        <w:t>MKAT13009</w:t>
      </w:r>
    </w:p>
    <w:sectPr w:rsidR="00D20058" w:rsidSect="00F50497">
      <w:headerReference w:type="default" r:id="rId20"/>
      <w:footerReference w:type="default" r:id="rId21"/>
      <w:headerReference w:type="first" r:id="rId2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9F4C8" w14:textId="77777777" w:rsidR="00BA07D2" w:rsidRDefault="00BA07D2">
      <w:r>
        <w:separator/>
      </w:r>
    </w:p>
  </w:endnote>
  <w:endnote w:type="continuationSeparator" w:id="0">
    <w:p w14:paraId="2B8D7896" w14:textId="77777777" w:rsidR="00BA07D2" w:rsidRDefault="00BA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38446" w14:textId="77777777" w:rsidR="00BA07D2" w:rsidRDefault="00BA07D2">
      <w:r>
        <w:separator/>
      </w:r>
    </w:p>
  </w:footnote>
  <w:footnote w:type="continuationSeparator" w:id="0">
    <w:p w14:paraId="62BB17E7" w14:textId="77777777" w:rsidR="00BA07D2" w:rsidRDefault="00BA07D2">
      <w:r>
        <w:continuationSeparator/>
      </w:r>
    </w:p>
  </w:footnote>
  <w:footnote w:type="continuationNotice" w:id="1">
    <w:p w14:paraId="57595279" w14:textId="77777777" w:rsidR="00BA07D2" w:rsidRDefault="00BA0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D6329"/>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5C3"/>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1370"/>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0783F"/>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4C96"/>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483"/>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2B6E"/>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1F64"/>
    <w:rsid w:val="00A82114"/>
    <w:rsid w:val="00A82FF0"/>
    <w:rsid w:val="00A83207"/>
    <w:rsid w:val="00A83BED"/>
    <w:rsid w:val="00A8488F"/>
    <w:rsid w:val="00A85DA3"/>
    <w:rsid w:val="00A86BC6"/>
    <w:rsid w:val="00A87D4F"/>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1C27"/>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07D2"/>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66FA"/>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67148"/>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liska.krohova@crest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2096</Words>
  <Characters>12367</Characters>
  <Application>Microsoft Office Word</Application>
  <DocSecurity>0</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14435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2025-05-16T07:55:00Z</dcterms:created>
  <dcterms:modified xsi:type="dcterms:W3CDTF">2025-05-16T07:55:00Z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